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8"/>
        <w:gridCol w:w="1340"/>
        <w:gridCol w:w="915"/>
        <w:gridCol w:w="1087"/>
        <w:gridCol w:w="1326"/>
        <w:gridCol w:w="2118"/>
      </w:tblGrid>
      <w:tr w:rsidR="00A65F2B" w:rsidRPr="00851796" w14:paraId="31FAADDC" w14:textId="77777777" w:rsidTr="00851796">
        <w:trPr>
          <w:trHeight w:val="169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6F1A7" w14:textId="71674D66" w:rsidR="00A755BC" w:rsidRPr="00851796" w:rsidRDefault="00F108AD" w:rsidP="00740B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3113BF7" wp14:editId="75A2478D">
                  <wp:extent cx="1590675" cy="1266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900" cy="1267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14:paraId="7821565A" w14:textId="77777777" w:rsidR="00A755BC" w:rsidRPr="00851796" w:rsidRDefault="00A755BC" w:rsidP="00740B2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40B2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شناسنامه فرآیند</w:t>
            </w:r>
          </w:p>
        </w:tc>
      </w:tr>
      <w:tr w:rsidR="001754CE" w:rsidRPr="00851796" w14:paraId="032F4196" w14:textId="77777777" w:rsidTr="00851796">
        <w:trPr>
          <w:trHeight w:val="519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78ECB1CD" w14:textId="77777777" w:rsidR="00A755BC" w:rsidRPr="00851796" w:rsidRDefault="00A755BC" w:rsidP="00740B2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نام فرآیند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2B6E005B" w14:textId="77777777" w:rsidR="00A755BC" w:rsidRPr="00851796" w:rsidRDefault="00583D77" w:rsidP="00583D7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بررسی و تصویب طرح ها و پایان نامه های تحقیقاتی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61078B4" w14:textId="77777777" w:rsidR="00A755BC" w:rsidRPr="00851796" w:rsidRDefault="00A755BC" w:rsidP="00740B2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کد استاندارد فرایند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F35C78" w14:textId="77777777" w:rsidR="00A755BC" w:rsidRPr="00851796" w:rsidRDefault="00A755BC" w:rsidP="00740B2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1754CE" w:rsidRPr="00851796" w14:paraId="7BD88F02" w14:textId="77777777" w:rsidTr="00216494">
        <w:trPr>
          <w:trHeight w:val="343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46F3D0BD" w14:textId="77777777" w:rsidR="00A755BC" w:rsidRPr="00851796" w:rsidRDefault="00A755BC" w:rsidP="00740B2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کد فرآیند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129BB3D0" w14:textId="0EB4068B" w:rsidR="00A755BC" w:rsidRPr="00851796" w:rsidRDefault="00846934" w:rsidP="00740B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46934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</w:rPr>
              <w:t>UMSU-PTA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755BC" w:rsidRPr="00851796">
              <w:rPr>
                <w:rFonts w:ascii="Cambria" w:eastAsia="Times New Roman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A4DF22C" w14:textId="77777777" w:rsidR="00A755BC" w:rsidRPr="00851796" w:rsidRDefault="00A755BC" w:rsidP="00740B2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تاریخ بازنگری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508A5B" w14:textId="77777777" w:rsidR="00A755BC" w:rsidRPr="00851796" w:rsidRDefault="00A755BC" w:rsidP="00740B2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1754CE" w:rsidRPr="00851796" w14:paraId="11D5302E" w14:textId="77777777" w:rsidTr="00851796">
        <w:trPr>
          <w:trHeight w:val="93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3DF34AA5" w14:textId="77777777" w:rsidR="00A755BC" w:rsidRPr="00851796" w:rsidRDefault="00A755BC" w:rsidP="00740B2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خدمت تولید شده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836CCA" w14:textId="77777777" w:rsidR="00A755BC" w:rsidRPr="00851796" w:rsidRDefault="00E80B17" w:rsidP="00E80B1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تصویب</w:t>
            </w:r>
            <w:r w:rsidR="00851796" w:rsidRPr="00851796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E80B17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طرح ها و پایان نامه های تحقیقاتی</w:t>
            </w:r>
          </w:p>
        </w:tc>
        <w:tc>
          <w:tcPr>
            <w:tcW w:w="0" w:type="auto"/>
            <w:shd w:val="clear" w:color="000000" w:fill="F2F2F2"/>
            <w:vAlign w:val="bottom"/>
            <w:hideMark/>
          </w:tcPr>
          <w:p w14:paraId="01F15ADA" w14:textId="77777777" w:rsidR="00A755BC" w:rsidRPr="00851796" w:rsidRDefault="00A755BC" w:rsidP="00740B24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شناسه خدمت </w:t>
            </w:r>
          </w:p>
        </w:tc>
        <w:tc>
          <w:tcPr>
            <w:tcW w:w="0" w:type="auto"/>
            <w:gridSpan w:val="3"/>
            <w:shd w:val="clear" w:color="auto" w:fill="auto"/>
            <w:vAlign w:val="bottom"/>
            <w:hideMark/>
          </w:tcPr>
          <w:p w14:paraId="23370C07" w14:textId="77777777" w:rsidR="00A755BC" w:rsidRPr="00851796" w:rsidRDefault="00A755BC" w:rsidP="00740B2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3E1535" w:rsidRPr="00851796" w14:paraId="5CEC288C" w14:textId="77777777" w:rsidTr="00E80B17">
        <w:trPr>
          <w:trHeight w:val="113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3AA611B4" w14:textId="77777777" w:rsidR="00E80B17" w:rsidRPr="00851796" w:rsidRDefault="00E80B17" w:rsidP="00E80B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صاحب فرآیند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1FAB0" w14:textId="6E4BDAF2" w:rsidR="00E80B17" w:rsidRPr="00851796" w:rsidRDefault="00E80B17" w:rsidP="00E80B1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دانشگاه علوم پزشکی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6FAF2AD" w14:textId="77777777" w:rsidR="00E80B17" w:rsidRPr="00851796" w:rsidRDefault="00E80B17" w:rsidP="00E80B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معاونت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CAE4A" w14:textId="77777777" w:rsidR="00E80B17" w:rsidRPr="00851796" w:rsidRDefault="00E80B17" w:rsidP="00E80B1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معاونت تحقیقات و فناوری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6F725C0" w14:textId="77777777" w:rsidR="00E80B17" w:rsidRPr="00851796" w:rsidRDefault="00E80B17" w:rsidP="00E80B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اداره/مرکز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6FFA8F" w14:textId="77777777" w:rsidR="00E80B17" w:rsidRPr="00851796" w:rsidRDefault="00E80B17" w:rsidP="00E80B1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مدیریت توسعه و ارزیابی تحقیقات/ گروه برنامه ریزی و ارزیابی تحقیقات</w:t>
            </w:r>
          </w:p>
        </w:tc>
      </w:tr>
      <w:tr w:rsidR="00C40AEA" w:rsidRPr="00851796" w14:paraId="5E2744A4" w14:textId="77777777" w:rsidTr="00851796">
        <w:trPr>
          <w:trHeight w:val="133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6ADC7293" w14:textId="77777777" w:rsidR="00E80B17" w:rsidRPr="00851796" w:rsidRDefault="00E80B17" w:rsidP="00E80B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ناظر فرآیند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26246AF0" w14:textId="77777777" w:rsidR="00E80B17" w:rsidRPr="00851796" w:rsidRDefault="00E80B17" w:rsidP="009A2DC1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="009A2DC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مدیر توسعه و ارزیابی تحقیقات/ معاون 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تحقیقات و فناوری دانشگاه</w:t>
            </w:r>
          </w:p>
        </w:tc>
      </w:tr>
      <w:tr w:rsidR="00C40AEA" w:rsidRPr="00851796" w14:paraId="2F582BCF" w14:textId="77777777" w:rsidTr="00851796">
        <w:trPr>
          <w:trHeight w:val="60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23811E0C" w14:textId="77777777" w:rsidR="00E80B17" w:rsidRPr="00851796" w:rsidRDefault="00E80B17" w:rsidP="00E80B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ذینفعان فرآیند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2B6A7D5D" w14:textId="77777777" w:rsidR="00E80B17" w:rsidRPr="00851796" w:rsidRDefault="00E80B17" w:rsidP="00E80B17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اعضای هیات علمی، دانشجویان و کارکنان</w:t>
            </w:r>
          </w:p>
        </w:tc>
      </w:tr>
      <w:tr w:rsidR="00C40AEA" w:rsidRPr="00851796" w14:paraId="3832B646" w14:textId="77777777" w:rsidTr="00851796">
        <w:trPr>
          <w:trHeight w:val="343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64956190" w14:textId="77777777" w:rsidR="00E80B17" w:rsidRPr="00851796" w:rsidRDefault="00E80B17" w:rsidP="00E80B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نوع فرآیند (مدیریت، اصلی، پشتیبان)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51CCC873" w14:textId="77777777" w:rsidR="00E80B17" w:rsidRPr="00851796" w:rsidRDefault="00E80B17" w:rsidP="00E80B17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C40AEA" w:rsidRPr="00851796" w14:paraId="0151ABD2" w14:textId="77777777" w:rsidTr="00851796">
        <w:trPr>
          <w:trHeight w:val="375"/>
          <w:jc w:val="center"/>
        </w:trPr>
        <w:tc>
          <w:tcPr>
            <w:tcW w:w="0" w:type="auto"/>
            <w:vMerge w:val="restart"/>
            <w:shd w:val="clear" w:color="000000" w:fill="F2F2F2"/>
            <w:vAlign w:val="center"/>
            <w:hideMark/>
          </w:tcPr>
          <w:p w14:paraId="0C8774BF" w14:textId="77777777" w:rsidR="002D29AA" w:rsidRPr="00851796" w:rsidRDefault="002D29AA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هدف فرایند و اهداف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اختصاصی</w:t>
            </w: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مرتبط با فرآیند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43968AA5" w14:textId="77777777" w:rsidR="002D29AA" w:rsidRPr="00851796" w:rsidRDefault="002D29AA" w:rsidP="002D29A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هدف اصلی: حمایت از طرح های تحقیقاتی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و پایان نامه ها</w:t>
            </w:r>
          </w:p>
        </w:tc>
      </w:tr>
      <w:tr w:rsidR="002D29AA" w:rsidRPr="00851796" w14:paraId="2FFC690B" w14:textId="77777777" w:rsidTr="00851796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14:paraId="35393C88" w14:textId="77777777" w:rsidR="002D29AA" w:rsidRPr="00851796" w:rsidRDefault="002D29AA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6FD3EB72" w14:textId="77777777" w:rsidR="002D29AA" w:rsidRPr="00851796" w:rsidRDefault="002D29AA" w:rsidP="002D29A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انجام پژوهش</w:t>
            </w:r>
          </w:p>
        </w:tc>
      </w:tr>
      <w:tr w:rsidR="002D29AA" w:rsidRPr="00851796" w14:paraId="6F4C2A31" w14:textId="77777777" w:rsidTr="002D29AA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14:paraId="0156872B" w14:textId="77777777" w:rsidR="002D29AA" w:rsidRPr="00851796" w:rsidRDefault="002D29AA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6F8C2AA0" w14:textId="77777777" w:rsidR="002D29AA" w:rsidRPr="00851796" w:rsidRDefault="002D29AA" w:rsidP="002D29A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تولید علم </w:t>
            </w:r>
          </w:p>
        </w:tc>
      </w:tr>
      <w:tr w:rsidR="002D29AA" w:rsidRPr="00851796" w14:paraId="61893518" w14:textId="77777777" w:rsidTr="002D29A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7FB9F19" w14:textId="77777777" w:rsidR="002D29AA" w:rsidRPr="00851796" w:rsidRDefault="002D29AA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6B136150" w14:textId="77777777" w:rsidR="002D29AA" w:rsidRPr="00851796" w:rsidRDefault="002D29AA" w:rsidP="002D29A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تولید فناوری</w:t>
            </w:r>
          </w:p>
        </w:tc>
      </w:tr>
      <w:tr w:rsidR="002D29AA" w:rsidRPr="00851796" w14:paraId="2267B4B9" w14:textId="77777777" w:rsidTr="002D29A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7C6BD72" w14:textId="77777777" w:rsidR="002D29AA" w:rsidRPr="00851796" w:rsidRDefault="002D29AA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4E5EB58D" w14:textId="77777777" w:rsidR="002D29AA" w:rsidRPr="00851796" w:rsidRDefault="002D29AA" w:rsidP="002D29A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کمک به حل مشکلات نظام سلامت</w:t>
            </w:r>
          </w:p>
        </w:tc>
      </w:tr>
      <w:tr w:rsidR="00C40AEA" w:rsidRPr="00851796" w14:paraId="0B19B41F" w14:textId="77777777" w:rsidTr="00851796">
        <w:trPr>
          <w:trHeight w:val="60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7F8CD028" w14:textId="77777777" w:rsidR="002D29AA" w:rsidRPr="00851796" w:rsidRDefault="002D29AA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فرآیند بالادستی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581A7C26" w14:textId="77777777" w:rsidR="002D29AA" w:rsidRPr="00216494" w:rsidRDefault="00216494" w:rsidP="002D29AA">
            <w:pPr>
              <w:spacing w:after="0" w:line="240" w:lineRule="auto"/>
              <w:rPr>
                <w:rFonts w:ascii="Arial" w:eastAsia="Times New Roman" w:hAnsi="Arial" w:cs="Cambria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Cambria" w:hint="cs"/>
                <w:color w:val="000000"/>
                <w:sz w:val="24"/>
                <w:szCs w:val="24"/>
                <w:rtl/>
              </w:rPr>
              <w:t>_</w:t>
            </w:r>
          </w:p>
        </w:tc>
      </w:tr>
      <w:tr w:rsidR="00C40AEA" w:rsidRPr="00851796" w14:paraId="5D875F4A" w14:textId="77777777" w:rsidTr="00851796">
        <w:trPr>
          <w:trHeight w:val="60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741FB577" w14:textId="77777777" w:rsidR="002D29AA" w:rsidRPr="00851796" w:rsidRDefault="002D29AA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فرآیندهای پایین دستی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7F819CE0" w14:textId="77777777" w:rsidR="002D29AA" w:rsidRPr="00851796" w:rsidRDefault="002D29AA" w:rsidP="002D29A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851796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فر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</w:t>
            </w:r>
            <w:r w:rsidRPr="00851796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یند 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پرداخت پاداش به مقالات</w:t>
            </w:r>
          </w:p>
          <w:p w14:paraId="2A6C26F3" w14:textId="77777777" w:rsidR="002D29AA" w:rsidRDefault="002D29AA" w:rsidP="002D29A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فر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</w:t>
            </w:r>
            <w:r w:rsidRPr="00851796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یند تسویه حساب نهایی طرح های تحقیقاتی مصوب شورای پژوهشی دانشگاه</w:t>
            </w:r>
          </w:p>
          <w:p w14:paraId="121F0F92" w14:textId="77777777" w:rsidR="002D29AA" w:rsidRDefault="002D29AA" w:rsidP="002D29A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فر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ای</w:t>
            </w:r>
            <w:r w:rsidRPr="00851796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ند تصویب طرح ها در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851796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کمیته اخلاق در پژوهش های پزشکی</w:t>
            </w:r>
          </w:p>
          <w:p w14:paraId="4CA51EF8" w14:textId="77777777" w:rsidR="002D29AA" w:rsidRDefault="002D29AA" w:rsidP="002D29A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فرایند تخصیص و تامین بودجه</w:t>
            </w:r>
          </w:p>
          <w:p w14:paraId="75A1DC25" w14:textId="77777777" w:rsidR="008E4C21" w:rsidRPr="00851796" w:rsidRDefault="008E4C21" w:rsidP="008E4C21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فرایند ارتقای پژوهشگران</w:t>
            </w:r>
          </w:p>
        </w:tc>
      </w:tr>
      <w:tr w:rsidR="00C40AEA" w:rsidRPr="00851796" w14:paraId="04F57BB5" w14:textId="77777777" w:rsidTr="00851796">
        <w:trPr>
          <w:trHeight w:val="600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2D5F90CC" w14:textId="77777777" w:rsidR="002D29AA" w:rsidRPr="00851796" w:rsidRDefault="002D29AA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دامنه کاربرد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46429FB3" w14:textId="77777777" w:rsidR="002D29AA" w:rsidRPr="00851796" w:rsidRDefault="002D29AA" w:rsidP="008E4C21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کلیه محقق</w:t>
            </w:r>
            <w:r w:rsidR="008E4C2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ین وابسته به 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دانشگاه </w:t>
            </w:r>
            <w:r w:rsidR="008E4C2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 تمام طول سال</w:t>
            </w:r>
          </w:p>
        </w:tc>
      </w:tr>
      <w:tr w:rsidR="00C40AEA" w:rsidRPr="00851796" w14:paraId="53715AF9" w14:textId="77777777" w:rsidTr="00851796">
        <w:trPr>
          <w:trHeight w:val="375"/>
          <w:jc w:val="center"/>
        </w:trPr>
        <w:tc>
          <w:tcPr>
            <w:tcW w:w="0" w:type="auto"/>
            <w:vMerge w:val="restart"/>
            <w:shd w:val="clear" w:color="000000" w:fill="F2F2F2"/>
            <w:vAlign w:val="center"/>
            <w:hideMark/>
          </w:tcPr>
          <w:p w14:paraId="589794E3" w14:textId="77777777" w:rsidR="002D29AA" w:rsidRPr="00851796" w:rsidRDefault="002D29AA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مقررات مرتبط با فرآیند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4A37A2E7" w14:textId="77777777" w:rsidR="002D29AA" w:rsidRPr="00851796" w:rsidRDefault="002D29AA" w:rsidP="002D29A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مصوبات شورای پژوهشی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مراکز تحقیقاتی و شورای پژوهشی دانشگاه </w:t>
            </w:r>
          </w:p>
        </w:tc>
      </w:tr>
      <w:tr w:rsidR="008E4C21" w:rsidRPr="00851796" w14:paraId="0FD3ED55" w14:textId="77777777" w:rsidTr="008E4C21">
        <w:trPr>
          <w:trHeight w:val="512"/>
          <w:jc w:val="center"/>
        </w:trPr>
        <w:tc>
          <w:tcPr>
            <w:tcW w:w="0" w:type="auto"/>
            <w:vMerge/>
            <w:vAlign w:val="center"/>
            <w:hideMark/>
          </w:tcPr>
          <w:p w14:paraId="3EBBE13E" w14:textId="77777777" w:rsidR="008E4C21" w:rsidRPr="00851796" w:rsidRDefault="008E4C21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48BCD8BF" w14:textId="77777777" w:rsidR="008E4C21" w:rsidRPr="00851796" w:rsidRDefault="008E4C21" w:rsidP="008E4C21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Pr="00851796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راهنمای کشوری اخلاق در پژوهش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های علوم پزشکی</w:t>
            </w:r>
          </w:p>
        </w:tc>
      </w:tr>
      <w:tr w:rsidR="00C40AEA" w:rsidRPr="00851796" w14:paraId="245F4891" w14:textId="77777777" w:rsidTr="00097271">
        <w:trPr>
          <w:trHeight w:val="1175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50449677" w14:textId="77777777" w:rsidR="00100170" w:rsidRPr="00851796" w:rsidRDefault="00100170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سیستم ها و منابع اطلاعاتی فرآیند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724D4318" w14:textId="77777777" w:rsidR="00100170" w:rsidRDefault="00100170" w:rsidP="0010017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سامانه مدیریت اطلاعات تحقیقات دانشگاه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1913F731" w14:textId="77777777" w:rsidR="00100170" w:rsidRDefault="00100170" w:rsidP="0010017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سامانه ملی اخلاق در پژوهش</w:t>
            </w:r>
          </w:p>
          <w:p w14:paraId="2DFED5DD" w14:textId="77777777" w:rsidR="00100170" w:rsidRPr="00851796" w:rsidRDefault="00100170" w:rsidP="00824C2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سامانه </w:t>
            </w:r>
            <w:r w:rsidR="00824C2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تجمیع طرح های تحقیقاتی کشوری (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سم</w:t>
            </w:r>
            <w:r w:rsidR="00F8304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</w:t>
            </w:r>
            <w:r w:rsidR="00824C2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1754CE" w:rsidRPr="00851796" w14:paraId="428D354E" w14:textId="77777777" w:rsidTr="00851796">
        <w:trPr>
          <w:trHeight w:val="65"/>
          <w:jc w:val="center"/>
        </w:trPr>
        <w:tc>
          <w:tcPr>
            <w:tcW w:w="0" w:type="auto"/>
            <w:vMerge w:val="restart"/>
            <w:shd w:val="clear" w:color="000000" w:fill="F2F2F2"/>
            <w:vAlign w:val="center"/>
            <w:hideMark/>
          </w:tcPr>
          <w:p w14:paraId="766FAEE0" w14:textId="77777777" w:rsidR="002D29AA" w:rsidRPr="00851796" w:rsidRDefault="002D29AA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  <w:r w:rsidRPr="00851796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های فرآیند/تامین</w:t>
            </w:r>
            <w:r w:rsidRPr="00851796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کننده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94BD2A" w14:textId="77777777" w:rsidR="002D29AA" w:rsidRPr="00851796" w:rsidRDefault="002D29AA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پروپوزال ثبت شده</w:t>
            </w:r>
          </w:p>
        </w:tc>
        <w:tc>
          <w:tcPr>
            <w:tcW w:w="0" w:type="auto"/>
            <w:gridSpan w:val="2"/>
            <w:vMerge w:val="restart"/>
            <w:shd w:val="clear" w:color="000000" w:fill="F2F2F2"/>
            <w:vAlign w:val="center"/>
            <w:hideMark/>
          </w:tcPr>
          <w:p w14:paraId="2629BC6A" w14:textId="77777777" w:rsidR="002D29AA" w:rsidRPr="00851796" w:rsidRDefault="002D29AA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خروجی های فرآیند/مشتریان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14:paraId="2A2E0547" w14:textId="77777777" w:rsidR="002D29AA" w:rsidRPr="00851796" w:rsidRDefault="002D29AA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گزارش پایانی تائید شده طرح تحقیقاتی (طرح تحقیقاتی پایان یافته)</w:t>
            </w:r>
            <w:r w:rsidR="00824C2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/ مقاله/ محصول </w:t>
            </w:r>
            <w:r w:rsidR="00824C2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lastRenderedPageBreak/>
              <w:t>/ ثبت اختراع/ فناوری/ ثبت ژن / ترجمان دانش</w:t>
            </w:r>
          </w:p>
        </w:tc>
      </w:tr>
      <w:tr w:rsidR="001754CE" w:rsidRPr="00851796" w14:paraId="3D04629B" w14:textId="77777777" w:rsidTr="00851796">
        <w:trPr>
          <w:trHeight w:val="65"/>
          <w:jc w:val="center"/>
        </w:trPr>
        <w:tc>
          <w:tcPr>
            <w:tcW w:w="0" w:type="auto"/>
            <w:vMerge/>
            <w:vAlign w:val="center"/>
            <w:hideMark/>
          </w:tcPr>
          <w:p w14:paraId="3E42DA3C" w14:textId="77777777" w:rsidR="002D29AA" w:rsidRPr="00851796" w:rsidRDefault="002D29AA" w:rsidP="002D29A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5BB1507" w14:textId="77777777" w:rsidR="002D29AA" w:rsidRPr="00851796" w:rsidRDefault="002D29AA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درخواست های ثبت شده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522703B" w14:textId="77777777" w:rsidR="002D29AA" w:rsidRPr="00851796" w:rsidRDefault="002D29AA" w:rsidP="002D29A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</w:tcPr>
          <w:p w14:paraId="6538543C" w14:textId="77777777" w:rsidR="002D29AA" w:rsidRPr="00851796" w:rsidRDefault="002D29AA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طرح های تصویب شده</w:t>
            </w:r>
          </w:p>
        </w:tc>
      </w:tr>
      <w:tr w:rsidR="001754CE" w:rsidRPr="00851796" w14:paraId="632DA0FC" w14:textId="77777777" w:rsidTr="00851796">
        <w:trPr>
          <w:trHeight w:val="65"/>
          <w:jc w:val="center"/>
        </w:trPr>
        <w:tc>
          <w:tcPr>
            <w:tcW w:w="0" w:type="auto"/>
            <w:vMerge/>
            <w:vAlign w:val="center"/>
            <w:hideMark/>
          </w:tcPr>
          <w:p w14:paraId="6C47A1DB" w14:textId="77777777" w:rsidR="002D29AA" w:rsidRPr="00851796" w:rsidRDefault="002D29AA" w:rsidP="002D29A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194EB0" w14:textId="77777777" w:rsidR="002D29AA" w:rsidRPr="00851796" w:rsidRDefault="002D29AA" w:rsidP="002D29A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CEC80CA" w14:textId="77777777" w:rsidR="002D29AA" w:rsidRPr="00851796" w:rsidRDefault="002D29AA" w:rsidP="002D29A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14:paraId="2815B0D5" w14:textId="77777777" w:rsidR="002D29AA" w:rsidRPr="00851796" w:rsidRDefault="002D29AA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گواهی صادر شده</w:t>
            </w:r>
          </w:p>
        </w:tc>
      </w:tr>
      <w:tr w:rsidR="002D29AA" w:rsidRPr="00851796" w14:paraId="72067F5C" w14:textId="77777777" w:rsidTr="00851796">
        <w:trPr>
          <w:trHeight w:val="600"/>
          <w:jc w:val="center"/>
        </w:trPr>
        <w:tc>
          <w:tcPr>
            <w:tcW w:w="0" w:type="auto"/>
            <w:gridSpan w:val="6"/>
            <w:shd w:val="clear" w:color="000000" w:fill="F2F2F2"/>
            <w:vAlign w:val="center"/>
            <w:hideMark/>
          </w:tcPr>
          <w:p w14:paraId="6885D9EE" w14:textId="77777777" w:rsidR="002D29AA" w:rsidRPr="00851796" w:rsidRDefault="002D29AA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شرح فرآیند و فعالیت های اصلی آن</w:t>
            </w:r>
          </w:p>
        </w:tc>
      </w:tr>
      <w:tr w:rsidR="002D29AA" w:rsidRPr="00851796" w14:paraId="01EBA3F1" w14:textId="77777777" w:rsidTr="00851796">
        <w:trPr>
          <w:trHeight w:val="1425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7E50EEF2" w14:textId="77777777" w:rsidR="002D29AA" w:rsidRPr="00851796" w:rsidRDefault="002D29AA" w:rsidP="004D5AEE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فرآیند تصویب طرح های تحقیقاتی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با ثبت تقاضای جدید (پروپوزال جدید) در </w:t>
            </w:r>
            <w:r w:rsidR="00824C2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سامانه مدیریت اطلاعات تحقیقاتی 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آغاز می گردد. بررسی اولیه پروپوزال و داوری آن در کمیته های تخصصی در </w:t>
            </w:r>
            <w:r w:rsidR="00824C2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واحدهای تحقیقاتی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و پس از تائید در این کمیته ها/مراکز، پروپوزال تائید شده </w:t>
            </w:r>
            <w:r w:rsidR="00824C2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 سپس بودجه بندی (برآورد هزینه) طرح انجام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و </w:t>
            </w:r>
            <w:r w:rsidR="00824C2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صورتجلسه مربوطه تنظیم می گردد و جهت تعیین کد اخلاق به کمیته اخلاق ارجاع می گردد. </w:t>
            </w:r>
            <w:r w:rsidR="004D5AE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در برخی دانشگاه ها پس از اخذ کد اخلاق صورت می گیرد در هر حال 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پس از تائید جهت تصویب نهائی به شورای پژوهشی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ارجاع می گردد پس از تائید نهایی در شورای پژوهشی دانشگا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ه قرارداد طرح </w:t>
            </w:r>
            <w:r w:rsidR="00824C29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با مجری 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 پیش پرداخت طرح به مجری طرح پرداخت می گردد و مجری طرح به مرکز هدف معرفی می گردد و طرح در مرحله اجرا قرار می گیرد پس از پایان طرح مجری طرح، گزارش نهائی را از طریق سامانه ارسال می نماید و نهایتا نظارت و داوری طرح توسط ناظر</w:t>
            </w:r>
            <w:r w:rsidR="004D5AE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/داور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انجام و پس از تائید گزارش پایانی و ناظر طرح، گزارش پایانی جهت تصویب به شورای پژوهشی دانشگاه ارجاع و پس از تائید شورای پژوهشی دانشگاه طرح پایان یافته تلقی شده و تسویه حساب نهائی طرح انجام و درصورت درخواست مجری و همکاران طرح، گواهی مشارکت در اجرای طرح تحقیقاتی صادر می گردد.</w:t>
            </w:r>
          </w:p>
        </w:tc>
      </w:tr>
      <w:tr w:rsidR="002D29AA" w:rsidRPr="00851796" w14:paraId="514C44AA" w14:textId="77777777" w:rsidTr="00851796">
        <w:trPr>
          <w:trHeight w:val="600"/>
          <w:jc w:val="center"/>
        </w:trPr>
        <w:tc>
          <w:tcPr>
            <w:tcW w:w="0" w:type="auto"/>
            <w:gridSpan w:val="6"/>
            <w:shd w:val="clear" w:color="000000" w:fill="F2F2F2"/>
            <w:vAlign w:val="center"/>
            <w:hideMark/>
          </w:tcPr>
          <w:p w14:paraId="47FD08ED" w14:textId="77777777" w:rsidR="002D29AA" w:rsidRPr="00851796" w:rsidRDefault="002D29AA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نقاط نظارتی و کنترلی فرآیند</w:t>
            </w:r>
          </w:p>
        </w:tc>
      </w:tr>
      <w:tr w:rsidR="00C40AEA" w:rsidRPr="00851796" w14:paraId="6E7DC259" w14:textId="77777777" w:rsidTr="00851796">
        <w:trPr>
          <w:trHeight w:val="600"/>
          <w:jc w:val="center"/>
        </w:trPr>
        <w:tc>
          <w:tcPr>
            <w:tcW w:w="0" w:type="auto"/>
            <w:shd w:val="clear" w:color="000000" w:fill="FFC000"/>
            <w:vAlign w:val="center"/>
            <w:hideMark/>
          </w:tcPr>
          <w:p w14:paraId="75F3130F" w14:textId="77777777" w:rsidR="002D29AA" w:rsidRPr="00851796" w:rsidRDefault="002D29AA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مرحله فرآیند/زیرفرآیند</w:t>
            </w:r>
          </w:p>
        </w:tc>
        <w:tc>
          <w:tcPr>
            <w:tcW w:w="0" w:type="auto"/>
            <w:gridSpan w:val="5"/>
            <w:shd w:val="clear" w:color="000000" w:fill="FFC000"/>
            <w:vAlign w:val="center"/>
            <w:hideMark/>
          </w:tcPr>
          <w:p w14:paraId="092F1678" w14:textId="77777777" w:rsidR="002D29AA" w:rsidRPr="00851796" w:rsidRDefault="002D29AA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موضوع کنترل و نظارت</w:t>
            </w:r>
          </w:p>
        </w:tc>
      </w:tr>
      <w:tr w:rsidR="002D29AA" w:rsidRPr="00851796" w14:paraId="545C6647" w14:textId="77777777" w:rsidTr="00851796">
        <w:trPr>
          <w:trHeight w:val="64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995B87B" w14:textId="77777777" w:rsidR="002D29AA" w:rsidRPr="00851796" w:rsidRDefault="00E32FA7" w:rsidP="00E32FA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بررسی مستندات طرح توسط کارشناس مربوطه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2FD3331B" w14:textId="77777777" w:rsidR="002D29AA" w:rsidRPr="00851796" w:rsidRDefault="002D29AA" w:rsidP="00E32FA7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="00E32FA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میزان دقت کارشناس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2D29AA" w:rsidRPr="00851796" w14:paraId="6D58699B" w14:textId="77777777" w:rsidTr="00851796">
        <w:trPr>
          <w:trHeight w:val="64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7CC98F7" w14:textId="77777777" w:rsidR="002D29AA" w:rsidRPr="00851796" w:rsidRDefault="00521255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مرحله بررسی طرح توسط داور و شورای پژوهشی مرکز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7F154080" w14:textId="77777777" w:rsidR="002D29AA" w:rsidRPr="00851796" w:rsidRDefault="00521255" w:rsidP="002D29A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صحت و دقت در بررسی طرح</w:t>
            </w:r>
            <w:r w:rsidR="00C40AE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تحقیقاتی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مطابق </w:t>
            </w:r>
            <w:r w:rsidR="00C40AE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با 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آیین نامه های مربوطه</w:t>
            </w:r>
          </w:p>
        </w:tc>
      </w:tr>
      <w:tr w:rsidR="004834AF" w:rsidRPr="00851796" w14:paraId="4BC4012A" w14:textId="77777777" w:rsidTr="00851796">
        <w:trPr>
          <w:trHeight w:val="64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3D849EE" w14:textId="77777777" w:rsidR="004834AF" w:rsidRPr="00851796" w:rsidRDefault="004834AF" w:rsidP="004834A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کل مراحل فرایند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4B991B95" w14:textId="77777777" w:rsidR="004834AF" w:rsidRPr="00851796" w:rsidRDefault="004834AF" w:rsidP="004834AF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کنترل 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اجرای صحیح 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و به موقع 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فرآیند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C40AEA" w:rsidRPr="00851796" w14:paraId="47BC77CC" w14:textId="77777777" w:rsidTr="00851796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96D8086" w14:textId="77777777" w:rsidR="004834AF" w:rsidRPr="00851796" w:rsidRDefault="00B32DB1" w:rsidP="004834A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بودجه بندی طرح تحقیقاتی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38E86D78" w14:textId="77777777" w:rsidR="004834AF" w:rsidRPr="00851796" w:rsidRDefault="00B32DB1" w:rsidP="004834AF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عدالت در تخصیص بودجه ها (مبلغ و زمان پرداخت)</w:t>
            </w:r>
          </w:p>
        </w:tc>
      </w:tr>
      <w:tr w:rsidR="001754CE" w:rsidRPr="00851796" w14:paraId="40486112" w14:textId="77777777" w:rsidTr="00851796">
        <w:trPr>
          <w:trHeight w:val="780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244CB9D5" w14:textId="77777777" w:rsidR="004834AF" w:rsidRPr="00851796" w:rsidRDefault="004834AF" w:rsidP="004834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شاخص پایش و اندازه</w:t>
            </w:r>
            <w:r w:rsidRPr="00851796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گیری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E81E95C" w14:textId="77777777" w:rsidR="004834AF" w:rsidRPr="00851796" w:rsidRDefault="004834AF" w:rsidP="004834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معیار پذیرش</w:t>
            </w:r>
          </w:p>
        </w:tc>
        <w:tc>
          <w:tcPr>
            <w:tcW w:w="0" w:type="auto"/>
            <w:gridSpan w:val="3"/>
            <w:shd w:val="clear" w:color="000000" w:fill="F2F2F2"/>
            <w:vAlign w:val="center"/>
            <w:hideMark/>
          </w:tcPr>
          <w:p w14:paraId="48E2451D" w14:textId="77777777" w:rsidR="004834AF" w:rsidRPr="00851796" w:rsidRDefault="004834AF" w:rsidP="004834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مسئول پایش و اندازه</w:t>
            </w:r>
            <w:r w:rsidRPr="00851796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گیری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B824972" w14:textId="77777777" w:rsidR="004834AF" w:rsidRPr="00851796" w:rsidRDefault="004834AF" w:rsidP="004834A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دوره های پایش و اندازه</w:t>
            </w:r>
            <w:r w:rsidRPr="00851796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گیری</w:t>
            </w:r>
          </w:p>
        </w:tc>
      </w:tr>
      <w:tr w:rsidR="00C40AEA" w:rsidRPr="00851796" w14:paraId="34BA6922" w14:textId="77777777" w:rsidTr="00E32FA7">
        <w:trPr>
          <w:trHeight w:val="78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3C0D465" w14:textId="77777777" w:rsidR="004834AF" w:rsidRPr="00C40AEA" w:rsidRDefault="004834AF" w:rsidP="004834A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C40AE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تعداد مستندات ناقص پذیرفته شده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A0ECE7" w14:textId="77777777" w:rsidR="004834AF" w:rsidRPr="00C40AEA" w:rsidRDefault="004834AF" w:rsidP="004834A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C40AE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کمتر از 5 درصد موارد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43AD14F6" w14:textId="77777777" w:rsidR="004834AF" w:rsidRPr="00C40AEA" w:rsidRDefault="004834AF" w:rsidP="004834A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C40AE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رئیس واحد تحقیقاتی مربوطه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A004D" w14:textId="77777777" w:rsidR="004834AF" w:rsidRPr="00C40AEA" w:rsidRDefault="004834AF" w:rsidP="004834A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C40AE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سه ماه یکبار</w:t>
            </w:r>
          </w:p>
        </w:tc>
      </w:tr>
      <w:tr w:rsidR="001754CE" w:rsidRPr="00851796" w14:paraId="4AF68ACB" w14:textId="77777777" w:rsidTr="00E32FA7">
        <w:trPr>
          <w:trHeight w:val="78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E600B0D" w14:textId="77777777" w:rsidR="004834AF" w:rsidRPr="00C40AEA" w:rsidRDefault="004834AF" w:rsidP="004834A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C40AE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تعداد موارد دارای نقص در مرحله داوری و بررسی در شورا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94D96C" w14:textId="77777777" w:rsidR="004834AF" w:rsidRPr="00C40AEA" w:rsidRDefault="004834AF" w:rsidP="004834A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C40AE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کمتر از 5 درصد موارد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6A65ED0F" w14:textId="77777777" w:rsidR="004834AF" w:rsidRPr="00C40AEA" w:rsidRDefault="004834AF" w:rsidP="004834A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C40AE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رئیس واحد تحقیقاتی مربوطه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436C8" w14:textId="77777777" w:rsidR="004834AF" w:rsidRPr="00C40AEA" w:rsidRDefault="004834AF" w:rsidP="004834A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C40AE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شش ماه یکبار</w:t>
            </w:r>
          </w:p>
        </w:tc>
      </w:tr>
      <w:tr w:rsidR="003E1535" w:rsidRPr="00851796" w14:paraId="37A71ABE" w14:textId="77777777" w:rsidTr="00E32FA7">
        <w:trPr>
          <w:trHeight w:val="78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377C6A" w14:textId="77777777" w:rsidR="001754CE" w:rsidRPr="00C40AEA" w:rsidRDefault="001754CE" w:rsidP="00C40AE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C40AE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تعداد طرح های تحقیقاتی دارای نقص یا تاخیر در فرایند تصویب</w:t>
            </w:r>
            <w:r w:rsidR="003E1535" w:rsidRPr="00C40AE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(پایش در سامانه)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CD336" w14:textId="77777777" w:rsidR="001754CE" w:rsidRPr="00C40AEA" w:rsidRDefault="001754CE" w:rsidP="00C40AE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C40AE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کمتر از 5 درصد موارد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72F9D41" w14:textId="77777777" w:rsidR="001754CE" w:rsidRPr="00C40AEA" w:rsidRDefault="003E1535" w:rsidP="00C40AE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C40AEA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مدیر توسعه و ارزیابی تحقیقات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B089E6" w14:textId="77777777" w:rsidR="001754CE" w:rsidRPr="00C40AEA" w:rsidRDefault="003E1535" w:rsidP="00C40AE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C40AE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سه ماه یکبار</w:t>
            </w:r>
          </w:p>
        </w:tc>
      </w:tr>
      <w:tr w:rsidR="00B32DB1" w:rsidRPr="00851796" w14:paraId="5C4F0515" w14:textId="77777777" w:rsidTr="00E32FA7">
        <w:trPr>
          <w:trHeight w:val="78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0B9AADD" w14:textId="77777777" w:rsidR="00B32DB1" w:rsidRPr="00C40AEA" w:rsidRDefault="00B32DB1" w:rsidP="00C40AE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C40AE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تعداد موارد اعلام نارضایتی (بجا) درتخصیص بودجه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CB0D6" w14:textId="77777777" w:rsidR="00B32DB1" w:rsidRPr="00C40AEA" w:rsidRDefault="00663668" w:rsidP="00C40AE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C40AE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کمتر از 2 درصد موارد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6678BF55" w14:textId="77777777" w:rsidR="00B32DB1" w:rsidRPr="00C40AEA" w:rsidRDefault="00B32DB1" w:rsidP="00C40AE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C40AE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معاون تحقیقات و فناوری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51058F" w14:textId="77777777" w:rsidR="00B32DB1" w:rsidRPr="00C40AEA" w:rsidRDefault="00B32DB1" w:rsidP="00C40AE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C40AE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دو ماه یکبار</w:t>
            </w:r>
          </w:p>
        </w:tc>
      </w:tr>
      <w:tr w:rsidR="00C40AEA" w:rsidRPr="00851796" w14:paraId="2B07839F" w14:textId="77777777" w:rsidTr="00C40AEA">
        <w:trPr>
          <w:trHeight w:val="6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E82D111" w14:textId="77777777" w:rsidR="00C40AEA" w:rsidRPr="00851796" w:rsidRDefault="00C40AEA" w:rsidP="00C40AE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اجرای 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کامل 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مصوبات شورای پژوهشی دانشگاه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9B5C3B" w14:textId="77777777" w:rsidR="00C40AEA" w:rsidRPr="00851796" w:rsidRDefault="00C40AEA" w:rsidP="00C40AE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100 درصد موارد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722E2237" w14:textId="77777777" w:rsidR="00C40AEA" w:rsidRPr="00851796" w:rsidRDefault="00C40AEA" w:rsidP="00C40AE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C40AEA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مدیر توسعه و ارزیابی تحقیقات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E38F90" w14:textId="77777777" w:rsidR="00C40AEA" w:rsidRPr="00851796" w:rsidRDefault="00C40AEA" w:rsidP="00C40AE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متناوب در طول سال</w:t>
            </w:r>
          </w:p>
        </w:tc>
      </w:tr>
    </w:tbl>
    <w:p w14:paraId="5A512B6C" w14:textId="77777777" w:rsidR="00740B24" w:rsidRDefault="00740B24" w:rsidP="00740B24">
      <w:pPr>
        <w:spacing w:after="0" w:line="240" w:lineRule="auto"/>
        <w:rPr>
          <w:rFonts w:cs="B Nazanin"/>
          <w:sz w:val="24"/>
          <w:szCs w:val="24"/>
          <w:rtl/>
        </w:rPr>
      </w:pPr>
    </w:p>
    <w:p w14:paraId="76FBC511" w14:textId="77777777" w:rsidR="004348B3" w:rsidRPr="00851796" w:rsidRDefault="004348B3" w:rsidP="004743A3">
      <w:pPr>
        <w:spacing w:line="240" w:lineRule="auto"/>
        <w:rPr>
          <w:rFonts w:cs="B Nazanin"/>
          <w:sz w:val="24"/>
          <w:szCs w:val="24"/>
        </w:rPr>
      </w:pPr>
    </w:p>
    <w:sectPr w:rsidR="004348B3" w:rsidRPr="00851796" w:rsidSect="00F108AD">
      <w:pgSz w:w="11906" w:h="16838"/>
      <w:pgMar w:top="1134" w:right="851" w:bottom="99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12"/>
    <w:rsid w:val="00001FE6"/>
    <w:rsid w:val="00007066"/>
    <w:rsid w:val="00031031"/>
    <w:rsid w:val="00066E25"/>
    <w:rsid w:val="00081FBB"/>
    <w:rsid w:val="000A230E"/>
    <w:rsid w:val="000A36AF"/>
    <w:rsid w:val="000B4EE6"/>
    <w:rsid w:val="00100170"/>
    <w:rsid w:val="00153E49"/>
    <w:rsid w:val="00162058"/>
    <w:rsid w:val="001754CE"/>
    <w:rsid w:val="001B4096"/>
    <w:rsid w:val="001B5D15"/>
    <w:rsid w:val="001C2765"/>
    <w:rsid w:val="001D2AFD"/>
    <w:rsid w:val="001E0CA5"/>
    <w:rsid w:val="001F7CA4"/>
    <w:rsid w:val="00216494"/>
    <w:rsid w:val="0022295C"/>
    <w:rsid w:val="002304BF"/>
    <w:rsid w:val="0028256C"/>
    <w:rsid w:val="002B715C"/>
    <w:rsid w:val="002D29AA"/>
    <w:rsid w:val="002D7C85"/>
    <w:rsid w:val="00341608"/>
    <w:rsid w:val="003658B0"/>
    <w:rsid w:val="00367942"/>
    <w:rsid w:val="003826B8"/>
    <w:rsid w:val="003E1535"/>
    <w:rsid w:val="004348B3"/>
    <w:rsid w:val="00442907"/>
    <w:rsid w:val="004544CB"/>
    <w:rsid w:val="0045633F"/>
    <w:rsid w:val="004743A3"/>
    <w:rsid w:val="004834AF"/>
    <w:rsid w:val="004B16C2"/>
    <w:rsid w:val="004D5AEE"/>
    <w:rsid w:val="004F1221"/>
    <w:rsid w:val="005108C2"/>
    <w:rsid w:val="00512BB5"/>
    <w:rsid w:val="00521255"/>
    <w:rsid w:val="0053600C"/>
    <w:rsid w:val="00576FFC"/>
    <w:rsid w:val="00583BC0"/>
    <w:rsid w:val="00583D77"/>
    <w:rsid w:val="005A7612"/>
    <w:rsid w:val="005C7245"/>
    <w:rsid w:val="005D3265"/>
    <w:rsid w:val="005F0374"/>
    <w:rsid w:val="00606FD8"/>
    <w:rsid w:val="006130DB"/>
    <w:rsid w:val="00641F30"/>
    <w:rsid w:val="00645526"/>
    <w:rsid w:val="00663668"/>
    <w:rsid w:val="006A78AE"/>
    <w:rsid w:val="00727C34"/>
    <w:rsid w:val="00740B24"/>
    <w:rsid w:val="00741FFE"/>
    <w:rsid w:val="00742FF9"/>
    <w:rsid w:val="00747D01"/>
    <w:rsid w:val="007966B8"/>
    <w:rsid w:val="007C5A87"/>
    <w:rsid w:val="00824C29"/>
    <w:rsid w:val="00846934"/>
    <w:rsid w:val="00851796"/>
    <w:rsid w:val="00863392"/>
    <w:rsid w:val="008C5629"/>
    <w:rsid w:val="008E4C21"/>
    <w:rsid w:val="009A174F"/>
    <w:rsid w:val="009A2DC1"/>
    <w:rsid w:val="009B7BDD"/>
    <w:rsid w:val="009C5A4F"/>
    <w:rsid w:val="009E56E2"/>
    <w:rsid w:val="00A01F39"/>
    <w:rsid w:val="00A15AE5"/>
    <w:rsid w:val="00A65F2B"/>
    <w:rsid w:val="00A755BC"/>
    <w:rsid w:val="00A778F7"/>
    <w:rsid w:val="00AF6204"/>
    <w:rsid w:val="00AF663A"/>
    <w:rsid w:val="00B32DB1"/>
    <w:rsid w:val="00B32DBA"/>
    <w:rsid w:val="00B43668"/>
    <w:rsid w:val="00B56EC4"/>
    <w:rsid w:val="00B86907"/>
    <w:rsid w:val="00BA3ABB"/>
    <w:rsid w:val="00BB35EA"/>
    <w:rsid w:val="00BD7996"/>
    <w:rsid w:val="00C21F0E"/>
    <w:rsid w:val="00C40AEA"/>
    <w:rsid w:val="00C464C5"/>
    <w:rsid w:val="00C738FD"/>
    <w:rsid w:val="00C82CE9"/>
    <w:rsid w:val="00C84559"/>
    <w:rsid w:val="00C92391"/>
    <w:rsid w:val="00CD0403"/>
    <w:rsid w:val="00CD1064"/>
    <w:rsid w:val="00D03A4D"/>
    <w:rsid w:val="00D561ED"/>
    <w:rsid w:val="00D61E71"/>
    <w:rsid w:val="00D6393E"/>
    <w:rsid w:val="00DB7141"/>
    <w:rsid w:val="00DD669C"/>
    <w:rsid w:val="00DE74D8"/>
    <w:rsid w:val="00DE77E5"/>
    <w:rsid w:val="00E211C4"/>
    <w:rsid w:val="00E32FA7"/>
    <w:rsid w:val="00E3404A"/>
    <w:rsid w:val="00E50BE4"/>
    <w:rsid w:val="00E7592C"/>
    <w:rsid w:val="00E80B17"/>
    <w:rsid w:val="00EA40A6"/>
    <w:rsid w:val="00EC5007"/>
    <w:rsid w:val="00ED5FA4"/>
    <w:rsid w:val="00F108AD"/>
    <w:rsid w:val="00F737AC"/>
    <w:rsid w:val="00F8304C"/>
    <w:rsid w:val="00FE12D9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28E7"/>
  <w15:chartTrackingRefBased/>
  <w15:docId w15:val="{EC06D944-2084-47C1-9B7C-4048667C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maleki</cp:lastModifiedBy>
  <cp:revision>17</cp:revision>
  <cp:lastPrinted>2018-12-05T06:26:00Z</cp:lastPrinted>
  <dcterms:created xsi:type="dcterms:W3CDTF">2019-04-23T13:24:00Z</dcterms:created>
  <dcterms:modified xsi:type="dcterms:W3CDTF">2023-08-27T05:52:00Z</dcterms:modified>
</cp:coreProperties>
</file>